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7802">
      <w:pPr>
        <w:pStyle w:val="2"/>
        <w:spacing w:line="274" w:lineRule="auto"/>
      </w:pPr>
      <w:bookmarkStart w:id="2" w:name="_GoBack"/>
      <w:bookmarkEnd w:id="2"/>
    </w:p>
    <w:p w14:paraId="0890A8A8">
      <w:pPr>
        <w:pStyle w:val="2"/>
        <w:spacing w:line="274" w:lineRule="auto"/>
      </w:pPr>
    </w:p>
    <w:p w14:paraId="449245DE">
      <w:pPr>
        <w:pStyle w:val="2"/>
        <w:spacing w:line="274" w:lineRule="auto"/>
      </w:pPr>
    </w:p>
    <w:p w14:paraId="581BE87C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4"/>
      <w:bookmarkEnd w:id="0"/>
      <w:bookmarkStart w:id="1" w:name="bookmark292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F968E9C">
      <w:pPr>
        <w:spacing w:before="65" w:line="205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（证券虚假陈述责任纠纷）</w:t>
      </w:r>
    </w:p>
    <w:p w14:paraId="611C4240">
      <w:pPr>
        <w:spacing w:line="222" w:lineRule="exact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00"/>
        <w:gridCol w:w="1632"/>
        <w:gridCol w:w="658"/>
        <w:gridCol w:w="361"/>
        <w:gridCol w:w="4468"/>
      </w:tblGrid>
      <w:tr w14:paraId="30B8C9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3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2F09EC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AA62777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866D60B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6BC1F560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D4FDBCF">
            <w:pPr>
              <w:pStyle w:val="6"/>
              <w:spacing w:before="63" w:line="254" w:lineRule="auto"/>
              <w:ind w:left="85" w:right="83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AC2E407">
            <w:pPr>
              <w:pStyle w:val="6"/>
              <w:spacing w:before="17" w:line="249" w:lineRule="auto"/>
              <w:ind w:left="86" w:right="11" w:firstLine="409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49BF757">
            <w:pPr>
              <w:pStyle w:val="6"/>
              <w:spacing w:before="4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32038CF8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2F93876">
            <w:pPr>
              <w:pStyle w:val="6"/>
              <w:spacing w:before="65" w:line="238" w:lineRule="auto"/>
              <w:ind w:left="84" w:right="86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C45F5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372FEC10">
            <w:pPr>
              <w:pStyle w:val="6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3AB8DAE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 w14:paraId="5BB54BAF">
            <w:pPr>
              <w:pStyle w:val="6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68" w:type="dxa"/>
            <w:tcBorders>
              <w:right w:val="single" w:color="231F20" w:sz="4" w:space="0"/>
            </w:tcBorders>
            <w:noWrap w:val="0"/>
            <w:vAlign w:val="top"/>
          </w:tcPr>
          <w:p w14:paraId="5A5AC6B7">
            <w:pPr>
              <w:rPr>
                <w:rFonts w:ascii="Arial"/>
                <w:sz w:val="21"/>
              </w:rPr>
            </w:pPr>
          </w:p>
        </w:tc>
      </w:tr>
      <w:tr w14:paraId="43A531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3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77A4032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524506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24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5EF2D40">
            <w:pPr>
              <w:spacing w:line="255" w:lineRule="auto"/>
              <w:rPr>
                <w:rFonts w:ascii="Arial"/>
                <w:sz w:val="21"/>
              </w:rPr>
            </w:pPr>
          </w:p>
          <w:p w14:paraId="2D94DE59">
            <w:pPr>
              <w:spacing w:line="255" w:lineRule="auto"/>
              <w:rPr>
                <w:rFonts w:ascii="Arial"/>
                <w:sz w:val="21"/>
              </w:rPr>
            </w:pPr>
          </w:p>
          <w:p w14:paraId="6F220BAD">
            <w:pPr>
              <w:spacing w:line="255" w:lineRule="auto"/>
              <w:rPr>
                <w:rFonts w:ascii="Arial"/>
                <w:sz w:val="21"/>
              </w:rPr>
            </w:pPr>
          </w:p>
          <w:p w14:paraId="2D15E9A7">
            <w:pPr>
              <w:spacing w:line="256" w:lineRule="auto"/>
              <w:rPr>
                <w:rFonts w:ascii="Arial"/>
                <w:sz w:val="21"/>
              </w:rPr>
            </w:pPr>
          </w:p>
          <w:p w14:paraId="5B1BD4B0">
            <w:pPr>
              <w:pStyle w:val="6"/>
              <w:spacing w:before="78" w:line="263" w:lineRule="auto"/>
              <w:ind w:left="571" w:right="577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119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9D36D25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6F59EFC4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30CA4D8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5DBD8E89">
            <w:pPr>
              <w:pStyle w:val="6"/>
              <w:spacing w:before="30" w:line="209" w:lineRule="auto"/>
              <w:ind w:left="84"/>
            </w:pPr>
            <w:r>
              <w:rPr>
                <w:color w:val="231F20"/>
                <w:spacing w:val="-1"/>
              </w:rPr>
              <w:t xml:space="preserve">工作单位： 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 w14:paraId="5C2E362E">
            <w:pPr>
              <w:pStyle w:val="6"/>
              <w:spacing w:before="62" w:line="246" w:lineRule="auto"/>
              <w:ind w:left="86" w:right="4840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7DEC207">
            <w:pPr>
              <w:pStyle w:val="6"/>
              <w:spacing w:before="43" w:line="236" w:lineRule="auto"/>
              <w:ind w:left="82" w:right="6020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DAC36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24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42904BB">
            <w:pPr>
              <w:spacing w:line="255" w:lineRule="auto"/>
              <w:rPr>
                <w:rFonts w:ascii="Arial"/>
                <w:sz w:val="21"/>
              </w:rPr>
            </w:pPr>
          </w:p>
          <w:p w14:paraId="48D63B6A">
            <w:pPr>
              <w:spacing w:line="255" w:lineRule="auto"/>
              <w:rPr>
                <w:rFonts w:ascii="Arial"/>
                <w:sz w:val="21"/>
              </w:rPr>
            </w:pPr>
          </w:p>
          <w:p w14:paraId="0B594848">
            <w:pPr>
              <w:spacing w:line="255" w:lineRule="auto"/>
              <w:rPr>
                <w:rFonts w:ascii="Arial"/>
                <w:sz w:val="21"/>
              </w:rPr>
            </w:pPr>
          </w:p>
          <w:p w14:paraId="065E0E78">
            <w:pPr>
              <w:spacing w:line="255" w:lineRule="auto"/>
              <w:rPr>
                <w:rFonts w:ascii="Arial"/>
                <w:sz w:val="21"/>
              </w:rPr>
            </w:pPr>
          </w:p>
          <w:p w14:paraId="310E178F">
            <w:pPr>
              <w:spacing w:line="255" w:lineRule="auto"/>
              <w:rPr>
                <w:rFonts w:ascii="Arial"/>
                <w:sz w:val="21"/>
              </w:rPr>
            </w:pPr>
          </w:p>
          <w:p w14:paraId="647B90CC">
            <w:pPr>
              <w:spacing w:line="255" w:lineRule="auto"/>
              <w:rPr>
                <w:rFonts w:ascii="Arial"/>
                <w:sz w:val="21"/>
              </w:rPr>
            </w:pPr>
          </w:p>
          <w:p w14:paraId="7E7F4043">
            <w:pPr>
              <w:pStyle w:val="6"/>
              <w:spacing w:before="78" w:line="208" w:lineRule="auto"/>
              <w:ind w:left="792"/>
            </w:pPr>
            <w:r>
              <w:rPr>
                <w:color w:val="231F20"/>
                <w:spacing w:val="-1"/>
              </w:rPr>
              <w:t>答辩人</w:t>
            </w:r>
          </w:p>
          <w:p w14:paraId="5B613D70">
            <w:pPr>
              <w:pStyle w:val="6"/>
              <w:spacing w:before="69" w:line="207" w:lineRule="auto"/>
              <w:ind w:left="46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119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4F6ACF0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09B58072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4463D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24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87005D2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CD2D917">
            <w:pPr>
              <w:pStyle w:val="6"/>
              <w:spacing w:before="75" w:line="205" w:lineRule="auto"/>
              <w:ind w:left="88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25D60D3">
            <w:pPr>
              <w:pStyle w:val="6"/>
              <w:spacing w:before="67" w:line="260" w:lineRule="auto"/>
              <w:ind w:left="84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FE59C8B">
            <w:pPr>
              <w:pStyle w:val="6"/>
              <w:spacing w:before="3" w:line="238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3B68C0E">
            <w:pPr>
              <w:spacing w:line="334" w:lineRule="auto"/>
              <w:rPr>
                <w:rFonts w:ascii="Arial"/>
                <w:sz w:val="21"/>
              </w:rPr>
            </w:pPr>
          </w:p>
          <w:p w14:paraId="046C2440">
            <w:pPr>
              <w:pStyle w:val="6"/>
              <w:spacing w:before="78" w:line="206" w:lineRule="auto"/>
              <w:ind w:left="587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0B3F635">
            <w:pPr>
              <w:spacing w:line="327" w:lineRule="auto"/>
              <w:rPr>
                <w:rFonts w:ascii="Arial"/>
                <w:sz w:val="21"/>
              </w:rPr>
            </w:pPr>
          </w:p>
          <w:p w14:paraId="06E0E895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5FCC785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5991B3B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EED4E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24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5A6550E2">
            <w:pPr>
              <w:rPr>
                <w:rFonts w:ascii="Arial"/>
                <w:sz w:val="21"/>
              </w:rPr>
            </w:pPr>
          </w:p>
        </w:tc>
        <w:tc>
          <w:tcPr>
            <w:tcW w:w="7119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7F5F666">
            <w:pPr>
              <w:pStyle w:val="6"/>
              <w:spacing w:before="73" w:line="209" w:lineRule="auto"/>
              <w:ind w:left="714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3C85652">
            <w:pPr>
              <w:pStyle w:val="6"/>
              <w:spacing w:before="66" w:line="237" w:lineRule="auto"/>
              <w:ind w:left="83" w:right="311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5E3B1703">
      <w:pPr>
        <w:pStyle w:val="2"/>
      </w:pPr>
    </w:p>
    <w:p w14:paraId="68A75A13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E432EA4">
      <w:pPr>
        <w:spacing w:before="41"/>
      </w:pPr>
    </w:p>
    <w:p w14:paraId="2A40E4A3">
      <w:pPr>
        <w:spacing w:before="41"/>
      </w:pPr>
    </w:p>
    <w:p w14:paraId="738EEA39">
      <w:pPr>
        <w:spacing w:before="41"/>
      </w:pPr>
    </w:p>
    <w:p w14:paraId="5021EAFA">
      <w:pPr>
        <w:spacing w:before="41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0105CB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4A6C819C">
            <w:pPr>
              <w:spacing w:line="341" w:lineRule="auto"/>
              <w:rPr>
                <w:rFonts w:ascii="Arial"/>
                <w:sz w:val="21"/>
              </w:rPr>
            </w:pPr>
          </w:p>
          <w:p w14:paraId="6EA898E0">
            <w:pPr>
              <w:spacing w:line="342" w:lineRule="auto"/>
              <w:rPr>
                <w:rFonts w:ascii="Arial"/>
                <w:sz w:val="21"/>
              </w:rPr>
            </w:pPr>
          </w:p>
          <w:p w14:paraId="7275E34F">
            <w:pPr>
              <w:pStyle w:val="6"/>
              <w:spacing w:before="78" w:line="209" w:lineRule="auto"/>
              <w:ind w:left="377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5F8456B8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4E50C99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18096F9C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66D172BE">
            <w:pPr>
              <w:pStyle w:val="6"/>
              <w:spacing w:before="31" w:line="238" w:lineRule="auto"/>
              <w:ind w:left="82" w:right="1046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943E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6C9EC51">
            <w:pPr>
              <w:spacing w:before="87" w:line="168" w:lineRule="auto"/>
              <w:ind w:left="407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77A06A13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6D3A3B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4C61E9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63C64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DC6E3A6">
            <w:pPr>
              <w:pStyle w:val="6"/>
              <w:spacing w:before="85" w:line="237" w:lineRule="auto"/>
              <w:ind w:left="86" w:right="84" w:firstLine="16"/>
            </w:pPr>
            <w:r>
              <w:rPr>
                <w:color w:val="231F20"/>
                <w:spacing w:val="12"/>
              </w:rPr>
              <w:t>1. 对赔偿因虚假陈述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导致的损失有无异议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229331EB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6E9F15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9A08F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ACDA433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14"/>
              </w:rPr>
              <w:t>2. 对主张连带责任有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301BE362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B80EFE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9D7AD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69A7FAF">
            <w:pPr>
              <w:pStyle w:val="6"/>
              <w:spacing w:before="85" w:line="237" w:lineRule="auto"/>
              <w:ind w:left="84" w:right="84" w:firstLine="4"/>
            </w:pPr>
            <w:r>
              <w:rPr>
                <w:color w:val="231F20"/>
                <w:spacing w:val="14"/>
              </w:rPr>
              <w:t>3. 对实现债权的费用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A68E2F5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E2D861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B4B8F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045FAA9">
            <w:pPr>
              <w:pStyle w:val="6"/>
              <w:spacing w:before="253" w:line="210" w:lineRule="auto"/>
              <w:ind w:left="82"/>
            </w:pPr>
            <w:r>
              <w:rPr>
                <w:color w:val="231F20"/>
                <w:spacing w:val="-6"/>
              </w:rPr>
              <w:t>4. 对其他请求有无异议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E1E7A62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843136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FC1DB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464CB06">
            <w:pPr>
              <w:pStyle w:val="6"/>
              <w:spacing w:before="256" w:line="208" w:lineRule="auto"/>
              <w:ind w:left="85"/>
            </w:pPr>
            <w:r>
              <w:rPr>
                <w:color w:val="231F20"/>
                <w:spacing w:val="-6"/>
              </w:rPr>
              <w:t>5. 对标的总额有无异议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3DDDC86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B1A8E81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CFF8E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28A4C76">
            <w:pPr>
              <w:spacing w:before="69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315431B1">
            <w:pPr>
              <w:spacing w:line="222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2E2A34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B22D674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1993F5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3BFA627F">
            <w:pPr>
              <w:pStyle w:val="6"/>
              <w:spacing w:before="85" w:line="237" w:lineRule="auto"/>
              <w:ind w:left="89" w:right="84" w:firstLine="13"/>
            </w:pPr>
            <w:r>
              <w:rPr>
                <w:color w:val="231F20"/>
                <w:spacing w:val="12"/>
              </w:rPr>
              <w:t>1. 对存在虚假陈述行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为的情况有无异议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EB5CB5D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82719E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6F21F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C7BCCB9">
            <w:pPr>
              <w:pStyle w:val="6"/>
              <w:spacing w:before="87" w:line="236" w:lineRule="auto"/>
              <w:ind w:left="80" w:right="84" w:firstLine="4"/>
            </w:pPr>
            <w:r>
              <w:rPr>
                <w:color w:val="231F20"/>
                <w:spacing w:val="14"/>
              </w:rPr>
              <w:t>2. 对有无监管部门的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认定、处罚有无异议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447A80D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3F1205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45668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A408856">
            <w:pPr>
              <w:pStyle w:val="6"/>
              <w:spacing w:before="88" w:line="236" w:lineRule="auto"/>
              <w:ind w:left="82" w:right="84" w:firstLine="6"/>
            </w:pPr>
            <w:r>
              <w:rPr>
                <w:color w:val="231F20"/>
                <w:spacing w:val="14"/>
              </w:rPr>
              <w:t>3. 对原告交易情况有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B2AD67C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BD250C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71E46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6D6B4872">
            <w:pPr>
              <w:pStyle w:val="6"/>
              <w:spacing w:before="87" w:line="237" w:lineRule="auto"/>
              <w:ind w:left="82" w:right="84"/>
            </w:pPr>
            <w:r>
              <w:rPr>
                <w:color w:val="231F20"/>
                <w:spacing w:val="14"/>
              </w:rPr>
              <w:t>4. 对虚假陈述的重大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性有无异议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4AAE0DC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A79A35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484C2798">
      <w:pPr>
        <w:pStyle w:val="2"/>
      </w:pPr>
    </w:p>
    <w:p w14:paraId="70B62ED5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75F10DB">
      <w:pPr>
        <w:spacing w:before="41"/>
      </w:pPr>
    </w:p>
    <w:p w14:paraId="7B52DC22">
      <w:pPr>
        <w:spacing w:before="41"/>
      </w:pPr>
    </w:p>
    <w:p w14:paraId="5818612A">
      <w:pPr>
        <w:spacing w:before="41"/>
      </w:pPr>
    </w:p>
    <w:p w14:paraId="672071B0">
      <w:pPr>
        <w:spacing w:before="41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2FC2A5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6BFD0013">
            <w:pPr>
              <w:pStyle w:val="6"/>
              <w:spacing w:before="86" w:line="245" w:lineRule="auto"/>
              <w:ind w:left="82" w:right="84" w:firstLine="3"/>
              <w:jc w:val="both"/>
            </w:pPr>
            <w:r>
              <w:rPr>
                <w:color w:val="231F20"/>
                <w:spacing w:val="14"/>
              </w:rPr>
              <w:t>5. 对虚假陈述与原告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交易行为之间的因果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关系有无异议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81FF898">
            <w:pPr>
              <w:pStyle w:val="6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9E4832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F99D0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49B05B51">
            <w:pPr>
              <w:pStyle w:val="6"/>
              <w:spacing w:before="84" w:line="245" w:lineRule="auto"/>
              <w:ind w:left="84" w:right="84" w:firstLine="2"/>
              <w:jc w:val="both"/>
            </w:pPr>
            <w:r>
              <w:rPr>
                <w:color w:val="231F20"/>
                <w:spacing w:val="14"/>
              </w:rPr>
              <w:t>6. 对虚假陈述与原告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7"/>
              </w:rPr>
              <w:t>损失之间的因果关系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F6C566A">
            <w:pPr>
              <w:pStyle w:val="6"/>
              <w:spacing w:before="26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7F9219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5AA2E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222FE864">
            <w:pPr>
              <w:pStyle w:val="6"/>
              <w:spacing w:before="85" w:line="237" w:lineRule="auto"/>
              <w:ind w:left="82" w:right="84" w:firstLine="1"/>
            </w:pPr>
            <w:r>
              <w:rPr>
                <w:color w:val="231F20"/>
                <w:spacing w:val="14"/>
              </w:rPr>
              <w:t>7. 对原告损失情况有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CB08E44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EB58F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99073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370FE9E">
            <w:pPr>
              <w:pStyle w:val="6"/>
              <w:spacing w:before="84" w:line="251" w:lineRule="auto"/>
              <w:ind w:left="84" w:right="84" w:firstLine="3"/>
              <w:jc w:val="both"/>
            </w:pPr>
            <w:r>
              <w:rPr>
                <w:color w:val="231F20"/>
                <w:spacing w:val="14"/>
              </w:rPr>
              <w:t>8. 对原告请求发行人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的控股股东、实际控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制人、董监高、相关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7"/>
              </w:rPr>
              <w:t>责任人员承担连带责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任的情况有无异议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485974C">
            <w:pPr>
              <w:spacing w:line="260" w:lineRule="auto"/>
              <w:rPr>
                <w:rFonts w:ascii="Arial"/>
                <w:sz w:val="21"/>
              </w:rPr>
            </w:pPr>
          </w:p>
          <w:p w14:paraId="6F4853E8">
            <w:pPr>
              <w:spacing w:line="260" w:lineRule="auto"/>
              <w:rPr>
                <w:rFonts w:ascii="Arial"/>
                <w:sz w:val="21"/>
              </w:rPr>
            </w:pPr>
          </w:p>
          <w:p w14:paraId="6BF05CEA">
            <w:pPr>
              <w:pStyle w:val="6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39A5A0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98DF9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1CE7D75">
            <w:pPr>
              <w:pStyle w:val="6"/>
              <w:spacing w:before="80" w:line="253" w:lineRule="auto"/>
              <w:ind w:left="82" w:right="84" w:firstLine="3"/>
              <w:jc w:val="both"/>
            </w:pPr>
            <w:r>
              <w:rPr>
                <w:color w:val="231F20"/>
                <w:spacing w:val="14"/>
              </w:rPr>
              <w:t>9. 对原告请求保荐机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构、承销机构、律师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事务所、会计师事务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17"/>
              </w:rPr>
              <w:t>所等其他机构及其相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17"/>
              </w:rPr>
              <w:t>关责任人员承担连带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责任的情况有无异议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06E3E13">
            <w:pPr>
              <w:spacing w:line="345" w:lineRule="auto"/>
              <w:rPr>
                <w:rFonts w:ascii="Arial"/>
                <w:sz w:val="21"/>
              </w:rPr>
            </w:pPr>
          </w:p>
          <w:p w14:paraId="2C0BE054">
            <w:pPr>
              <w:spacing w:line="345" w:lineRule="auto"/>
              <w:rPr>
                <w:rFonts w:ascii="Arial"/>
                <w:sz w:val="21"/>
              </w:rPr>
            </w:pPr>
          </w:p>
          <w:p w14:paraId="04BD968E">
            <w:pPr>
              <w:pStyle w:val="6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C14F7F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D6D3A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AEF8650">
            <w:pPr>
              <w:pStyle w:val="6"/>
              <w:spacing w:before="85" w:line="237" w:lineRule="auto"/>
              <w:ind w:left="87" w:right="85" w:firstLine="15"/>
            </w:pPr>
            <w:r>
              <w:rPr>
                <w:color w:val="231F20"/>
                <w:spacing w:val="6"/>
              </w:rPr>
              <w:t>10. 有无其他免责 / 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103B793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0C854F7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CC90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119BD43">
            <w:pPr>
              <w:pStyle w:val="6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11. 答辩依据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B2A904F">
            <w:pPr>
              <w:pStyle w:val="6"/>
              <w:spacing w:before="85" w:line="237" w:lineRule="auto"/>
              <w:ind w:left="84" w:right="6020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616490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2A251439">
            <w:pPr>
              <w:pStyle w:val="6"/>
              <w:spacing w:before="85" w:line="237" w:lineRule="auto"/>
              <w:ind w:left="84" w:right="85" w:firstLine="18"/>
            </w:pPr>
            <w:r>
              <w:rPr>
                <w:color w:val="231F20"/>
                <w:spacing w:val="3"/>
              </w:rPr>
              <w:t>12. 其他需要说明的内</w:t>
            </w:r>
            <w:r>
              <w:rPr>
                <w:color w:val="231F20"/>
              </w:rPr>
              <w:t xml:space="preserve"> 容（可另附页）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66489CAA">
            <w:pPr>
              <w:rPr>
                <w:rFonts w:ascii="Arial"/>
                <w:sz w:val="21"/>
              </w:rPr>
            </w:pPr>
          </w:p>
        </w:tc>
      </w:tr>
      <w:tr w14:paraId="69D170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C1BDAA1">
            <w:pPr>
              <w:pStyle w:val="6"/>
              <w:spacing w:before="82" w:line="216" w:lineRule="auto"/>
              <w:jc w:val="right"/>
            </w:pPr>
            <w:r>
              <w:rPr>
                <w:color w:val="231F20"/>
                <w:spacing w:val="-22"/>
              </w:rPr>
              <w:t>13. 证据清单（可另附页）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66621D7B">
            <w:pPr>
              <w:rPr>
                <w:rFonts w:ascii="Arial"/>
                <w:sz w:val="21"/>
              </w:rPr>
            </w:pPr>
          </w:p>
        </w:tc>
      </w:tr>
      <w:tr w14:paraId="2662C8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2E3DE29">
            <w:pPr>
              <w:spacing w:before="87" w:line="190" w:lineRule="auto"/>
              <w:ind w:left="3166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30A0C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3D70C8F8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6"/>
              </w:rPr>
              <w:t>是否了解调解作为非诉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4"/>
              </w:rPr>
              <w:t>讼纠纷解决方式，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14"/>
              </w:rPr>
              <w:t>能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及时、高效、低成本、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不伤和气地解决纠纷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F989E19">
            <w:pPr>
              <w:spacing w:line="259" w:lineRule="auto"/>
              <w:rPr>
                <w:rFonts w:ascii="Arial"/>
                <w:sz w:val="21"/>
              </w:rPr>
            </w:pPr>
          </w:p>
          <w:p w14:paraId="0C5CE6DF">
            <w:pPr>
              <w:spacing w:line="259" w:lineRule="auto"/>
              <w:rPr>
                <w:rFonts w:ascii="Arial"/>
                <w:sz w:val="21"/>
              </w:rPr>
            </w:pPr>
          </w:p>
          <w:p w14:paraId="6CF308F6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55FD8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BF7C1DA">
            <w:pPr>
              <w:spacing w:line="285" w:lineRule="auto"/>
              <w:rPr>
                <w:rFonts w:ascii="Arial"/>
                <w:sz w:val="21"/>
              </w:rPr>
            </w:pPr>
          </w:p>
          <w:p w14:paraId="12864B65">
            <w:pPr>
              <w:spacing w:line="285" w:lineRule="auto"/>
              <w:rPr>
                <w:rFonts w:ascii="Arial"/>
                <w:sz w:val="21"/>
              </w:rPr>
            </w:pPr>
          </w:p>
          <w:p w14:paraId="5C54D476">
            <w:pPr>
              <w:spacing w:line="285" w:lineRule="auto"/>
              <w:rPr>
                <w:rFonts w:ascii="Arial"/>
                <w:sz w:val="21"/>
              </w:rPr>
            </w:pPr>
          </w:p>
          <w:p w14:paraId="4FBD433A">
            <w:pPr>
              <w:pStyle w:val="6"/>
              <w:spacing w:before="78" w:line="263" w:lineRule="auto"/>
              <w:ind w:left="83" w:right="85"/>
            </w:pPr>
            <w:r>
              <w:rPr>
                <w:color w:val="231F20"/>
                <w:spacing w:val="17"/>
              </w:rPr>
              <w:t>是否了解先行调解解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7D61696">
            <w:pPr>
              <w:pStyle w:val="6"/>
              <w:spacing w:before="86" w:line="258" w:lineRule="auto"/>
              <w:ind w:left="83" w:firstLine="19"/>
              <w:jc w:val="both"/>
            </w:pPr>
            <w:r>
              <w:rPr>
                <w:color w:val="231F20"/>
              </w:rPr>
              <w:t>1. 立案后选择先行调解的，可以很快启动</w:t>
            </w:r>
            <w:r>
              <w:rPr>
                <w:color w:val="231F20"/>
                <w:spacing w:val="-1"/>
              </w:rPr>
              <w:t>调解程序。如不同意调解，法院将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依程序开庭审理案件，但可能需要经过较长一段时间的排期等待，且审</w:t>
            </w:r>
            <w:r>
              <w:rPr>
                <w:color w:val="231F20"/>
                <w:spacing w:val="2"/>
              </w:rPr>
              <w:t>理、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执行周期相对较长。</w:t>
            </w:r>
          </w:p>
          <w:p w14:paraId="228EDC90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04EE06F">
            <w:pPr>
              <w:pStyle w:val="6"/>
              <w:spacing w:before="65" w:line="261" w:lineRule="auto"/>
              <w:ind w:left="84" w:right="88" w:firstLine="1"/>
            </w:pPr>
            <w:r>
              <w:rPr>
                <w:color w:val="231F20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0DE9904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E8AF3BF">
      <w:pPr>
        <w:pStyle w:val="2"/>
      </w:pPr>
    </w:p>
    <w:p w14:paraId="6D935B53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BF75E69">
      <w:pPr>
        <w:spacing w:before="41"/>
      </w:pPr>
    </w:p>
    <w:p w14:paraId="573E1019">
      <w:pPr>
        <w:spacing w:before="41"/>
      </w:pPr>
    </w:p>
    <w:p w14:paraId="72AEF5CC">
      <w:pPr>
        <w:spacing w:before="41"/>
      </w:pPr>
    </w:p>
    <w:p w14:paraId="16F58AB6">
      <w:pPr>
        <w:spacing w:before="41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0C26F5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6A7EA53">
            <w:pPr>
              <w:spacing w:line="297" w:lineRule="auto"/>
              <w:rPr>
                <w:rFonts w:ascii="Arial"/>
                <w:sz w:val="21"/>
              </w:rPr>
            </w:pPr>
          </w:p>
          <w:p w14:paraId="7C3288AB">
            <w:pPr>
              <w:spacing w:line="298" w:lineRule="auto"/>
              <w:rPr>
                <w:rFonts w:ascii="Arial"/>
                <w:sz w:val="21"/>
              </w:rPr>
            </w:pPr>
          </w:p>
          <w:p w14:paraId="768211BB">
            <w:pPr>
              <w:spacing w:line="298" w:lineRule="auto"/>
              <w:rPr>
                <w:rFonts w:ascii="Arial"/>
                <w:sz w:val="21"/>
              </w:rPr>
            </w:pPr>
          </w:p>
          <w:p w14:paraId="0EA2D57A">
            <w:pPr>
              <w:spacing w:line="298" w:lineRule="auto"/>
              <w:rPr>
                <w:rFonts w:ascii="Arial"/>
                <w:sz w:val="21"/>
              </w:rPr>
            </w:pPr>
          </w:p>
          <w:p w14:paraId="53ADB6FE">
            <w:pPr>
              <w:pStyle w:val="6"/>
              <w:spacing w:before="78" w:line="263" w:lineRule="auto"/>
              <w:ind w:left="83" w:right="85"/>
            </w:pPr>
            <w:r>
              <w:rPr>
                <w:color w:val="231F20"/>
                <w:spacing w:val="17"/>
              </w:rPr>
              <w:t>是否了解先行调解解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3BE31D16">
            <w:pPr>
              <w:pStyle w:val="6"/>
              <w:spacing w:before="85" w:line="256" w:lineRule="auto"/>
              <w:ind w:left="84" w:right="89" w:firstLine="4"/>
            </w:pPr>
            <w:r>
              <w:rPr>
                <w:color w:val="231F20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员再进行调解。调解无法达成一致意见的，法院将依程序排期开庭。</w:t>
            </w:r>
          </w:p>
          <w:p w14:paraId="35A18874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EE6D55D">
            <w:pPr>
              <w:pStyle w:val="6"/>
              <w:spacing w:before="65" w:line="261" w:lineRule="auto"/>
              <w:ind w:left="84" w:right="96" w:hanging="2"/>
            </w:pPr>
            <w:r>
              <w:rPr>
                <w:color w:val="231F20"/>
              </w:rPr>
              <w:t>4. 依照法律规定，调解具有保密性要求，调解过程不公开，调解协议未经当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事人同意不得公开。</w:t>
            </w:r>
          </w:p>
          <w:p w14:paraId="31FAF7C0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18AF130">
            <w:pPr>
              <w:pStyle w:val="6"/>
              <w:spacing w:before="66" w:line="261" w:lineRule="auto"/>
              <w:ind w:left="84" w:right="92"/>
            </w:pPr>
            <w:r>
              <w:rPr>
                <w:color w:val="231F20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5"/>
              </w:rPr>
              <w:t>制执行效力。</w:t>
            </w:r>
          </w:p>
          <w:p w14:paraId="0036086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6996C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24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803BD00">
            <w:pPr>
              <w:spacing w:line="351" w:lineRule="auto"/>
              <w:rPr>
                <w:rFonts w:ascii="Arial"/>
                <w:sz w:val="21"/>
              </w:rPr>
            </w:pPr>
          </w:p>
          <w:p w14:paraId="0D6EB107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119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8CF3C4F">
            <w:pPr>
              <w:pStyle w:val="6"/>
              <w:spacing w:before="97" w:line="258" w:lineRule="auto"/>
              <w:ind w:left="86" w:right="6611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F003CB5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D2FB135">
      <w:pPr>
        <w:spacing w:before="155" w:line="215" w:lineRule="auto"/>
        <w:ind w:left="5379" w:right="887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1CC0002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24B7755"/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473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5B55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D85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253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448D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9E74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93EC4"/>
    <w:rsid w:val="57633121"/>
    <w:rsid w:val="6BB17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1735</Words>
  <Characters>1769</Characters>
  <Lines>0</Lines>
  <Paragraphs>0</Paragraphs>
  <TotalTime>0</TotalTime>
  <ScaleCrop>false</ScaleCrop>
  <LinksUpToDate>false</LinksUpToDate>
  <CharactersWithSpaces>2240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2025-06-17T06:38:36Z</dcterms:created>
  <dc:creator>53652</dc:creator>
  <cp:lastModifiedBy>LM</cp:lastModifiedBy>
  <dcterms:modified xsi:type="dcterms:W3CDTF">2025-07-09T11:55:16Z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836CF4DC850A4586AD91FCF91B8D9226_13</vt:lpwstr>
  </property>
</Properties>
</file>